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0" w:type="pct"/>
        <w:jc w:val="center"/>
        <w:tblCellSpacing w:w="15" w:type="dxa"/>
        <w:tblCellMar>
          <w:top w:w="15" w:type="dxa"/>
          <w:left w:w="15" w:type="dxa"/>
          <w:bottom w:w="15" w:type="dxa"/>
          <w:right w:w="15" w:type="dxa"/>
        </w:tblCellMar>
        <w:tblLook w:val="04A0" w:firstRow="1" w:lastRow="0" w:firstColumn="1" w:lastColumn="0" w:noHBand="0" w:noVBand="1"/>
      </w:tblPr>
      <w:tblGrid>
        <w:gridCol w:w="8838"/>
      </w:tblGrid>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70"/>
              <w:gridCol w:w="4469"/>
              <w:gridCol w:w="1293"/>
            </w:tblGrid>
            <w:tr w:rsidR="00522BD0" w:rsidRPr="00522BD0">
              <w:trPr>
                <w:tblCellSpacing w:w="0" w:type="dxa"/>
              </w:trPr>
              <w:tc>
                <w:tcPr>
                  <w:tcW w:w="1000" w:type="pct"/>
                  <w:vMerge w:val="restart"/>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Times New Roman" w:eastAsia="Times New Roman" w:hAnsi="Times New Roman" w:cs="Times New Roman"/>
                      <w:sz w:val="24"/>
                      <w:szCs w:val="24"/>
                    </w:rPr>
                  </w:pPr>
                  <w:r w:rsidRPr="00522BD0">
                    <w:rPr>
                      <w:rFonts w:ascii="Times New Roman" w:eastAsia="Times New Roman" w:hAnsi="Times New Roman" w:cs="Times New Roman"/>
                      <w:noProof/>
                      <w:sz w:val="24"/>
                      <w:szCs w:val="24"/>
                    </w:rPr>
                    <w:drawing>
                      <wp:inline distT="0" distB="0" distL="0" distR="0">
                        <wp:extent cx="1857375" cy="638175"/>
                        <wp:effectExtent l="0" t="0" r="9525" b="9525"/>
                        <wp:docPr id="2" name="Imagen 2" descr="http://isolucion.inpec.gov.co/Isolucion4Inpec/Medios4INPEC/logog%20doc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olucion.inpec.gov.co/Isolucion4Inpec/Medios4INPEC/logog%20docs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638175"/>
                                </a:xfrm>
                                <a:prstGeom prst="rect">
                                  <a:avLst/>
                                </a:prstGeom>
                                <a:noFill/>
                                <a:ln>
                                  <a:noFill/>
                                </a:ln>
                              </pic:spPr>
                            </pic:pic>
                          </a:graphicData>
                        </a:graphic>
                      </wp:inline>
                    </w:drawing>
                  </w:r>
                </w:p>
              </w:tc>
              <w:tc>
                <w:tcPr>
                  <w:tcW w:w="3000" w:type="pct"/>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 GESTIÓN FINANCIERA </w:t>
                  </w:r>
                </w:p>
              </w:tc>
              <w:tc>
                <w:tcPr>
                  <w:tcW w:w="1000" w:type="pct"/>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CÓDIGO: PA-GF-P014</w:t>
                  </w:r>
                </w:p>
              </w:tc>
            </w:tr>
            <w:tr w:rsidR="00522BD0" w:rsidRPr="00522BD0">
              <w:trPr>
                <w:tblCellSpacing w:w="0" w:type="dxa"/>
              </w:trPr>
              <w:tc>
                <w:tcPr>
                  <w:tcW w:w="0" w:type="auto"/>
                  <w:vMerge/>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DEPURACIÓN CUENTAS CONTABLES</w:t>
                  </w:r>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VERSIÓN: 01</w:t>
                  </w:r>
                </w:p>
              </w:tc>
            </w:tr>
            <w:tr w:rsidR="00522BD0" w:rsidRPr="00522BD0">
              <w:trPr>
                <w:tblCellSpacing w:w="0" w:type="dxa"/>
              </w:trPr>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p>
              </w:tc>
              <w:tc>
                <w:tcPr>
                  <w:tcW w:w="0" w:type="auto"/>
                  <w:vMerge/>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000000"/>
                      <w:sz w:val="24"/>
                      <w:szCs w:val="24"/>
                    </w:rPr>
                  </w:pPr>
                </w:p>
              </w:tc>
              <w:tc>
                <w:tcPr>
                  <w:tcW w:w="0" w:type="auto"/>
                  <w:tcBorders>
                    <w:top w:val="outset" w:sz="6" w:space="0" w:color="004C5A"/>
                    <w:left w:val="outset" w:sz="6" w:space="0" w:color="004C5A"/>
                    <w:bottom w:val="outset" w:sz="6" w:space="0" w:color="004C5A"/>
                    <w:right w:val="outset" w:sz="6" w:space="0" w:color="004C5A"/>
                  </w:tcBorders>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FECHA: 21/Ene/2016</w:t>
                  </w: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1. Objetivo</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Determinar con base en los estados financieros, económicos, ambientales y sociales del INPEC, las cuentas que sean objeto de depuración con el fin de presentar estados financieros confiables, consistentes, comprensibles, razonables y verificables.</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2. Alcance</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Este procedimiento aplica a la depuración de las cuentas del Activo, Pasivo, Patrimonio, Cuentas de Orden, Ingresos, Gastos y Costos del INPEC.</w:t>
                        </w:r>
                        <w:r w:rsidRPr="00522BD0">
                          <w:rPr>
                            <w:rFonts w:ascii="Arial Narrow" w:eastAsia="Times New Roman" w:hAnsi="Arial Narrow" w:cs="Times New Roman"/>
                            <w:color w:val="000000"/>
                          </w:rPr>
                          <w:br/>
                          <w:t>Inicia con la revisión de la información financiera revelada en Estados Contables, Aplicativo SIIF Nación y documentos soporte y finaliza con el registro de los saldos depurados en SIIF Nación.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3. Glosario</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b/>
                            <w:bCs/>
                            <w:color w:val="000000"/>
                          </w:rPr>
                          <w:t>Activos:</w:t>
                        </w:r>
                        <w:r w:rsidRPr="00522BD0">
                          <w:rPr>
                            <w:rFonts w:ascii="Arial Narrow" w:eastAsia="Times New Roman" w:hAnsi="Arial Narrow" w:cs="Times New Roman"/>
                            <w:color w:val="000000"/>
                          </w:rPr>
                          <w:t> son las cuentas representativas de bienes y derechos, tangible e intangibles, de la entidad contable pública obtenidos como consecuencia de hechos pasados, y de los cuales se espera que fluyan a la entidad contable pública un potencial de servicios o beneficios económicos futuros en desarrollo de sus funciones de cometido estatal.</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Ajustes:</w:t>
                        </w:r>
                        <w:r w:rsidRPr="00522BD0">
                          <w:rPr>
                            <w:rFonts w:ascii="Arial Narrow" w:eastAsia="Times New Roman" w:hAnsi="Arial Narrow" w:cs="Times New Roman"/>
                            <w:color w:val="000000"/>
                          </w:rPr>
                          <w:t> Registro de los hechos económicos que aún no han sido reconocidos en los estados financieros o corrección de aquellos que se han registrado incorrectamente con el fin de presentar el saldo de las cuentas de una manera veraz y razonable.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Balance general:</w:t>
                        </w:r>
                        <w:r w:rsidRPr="00522BD0">
                          <w:rPr>
                            <w:rFonts w:ascii="Arial Narrow" w:eastAsia="Times New Roman" w:hAnsi="Arial Narrow" w:cs="Times New Roman"/>
                            <w:color w:val="000000"/>
                          </w:rPr>
                          <w:t> presenta en forma clasificada, resumida y consistente, la situación financiera, económica, social y ambiental de la entidad contable, expresada en unidades monetarias, a una fecha determinada y revela la totalidad de sus bienes, derechos, obligaciones y la situación del patrimonio. Consta de un encabezamiento y de un cuerpo central, donde aparece la información que suministra. El encabezamiento está compuesto por tres partes: Nombre de la Entidad, Nombre del Estado Financiero y Fecha. El cuerpo está formado por Activos, Pasivos y Patrimonio.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Balance inicial:</w:t>
                        </w:r>
                        <w:r w:rsidRPr="00522BD0">
                          <w:rPr>
                            <w:rFonts w:ascii="Arial Narrow" w:eastAsia="Times New Roman" w:hAnsi="Arial Narrow" w:cs="Times New Roman"/>
                            <w:color w:val="000000"/>
                          </w:rPr>
                          <w:t> toda entidad, al comenzar sus actividades, debe elaborar un balance general que permita conocer de manera clara y completa la situación inicial de su patrimonio.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Comprensibilidad:</w:t>
                        </w:r>
                        <w:r w:rsidRPr="00522BD0">
                          <w:rPr>
                            <w:rFonts w:ascii="Arial Narrow" w:eastAsia="Times New Roman" w:hAnsi="Arial Narrow" w:cs="Times New Roman"/>
                            <w:color w:val="000000"/>
                          </w:rPr>
                          <w:t> la información contable pública es comprensible si permite a los usuarios interesados formarse un juicio objetivo sobre su contenido. Para tal efecto se presume que los usuarios tienen un conocimiento razonable de las actividades y resultados de la entidad contable pública objeto de su interés, así como de la regulación contable que le aplica. En este sentido, la información contable pública es comprensible si es racional y consistente.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lastRenderedPageBreak/>
                          <w:t>Conciliación:</w:t>
                        </w:r>
                        <w:r w:rsidRPr="00522BD0">
                          <w:rPr>
                            <w:rFonts w:ascii="Arial Narrow" w:eastAsia="Times New Roman" w:hAnsi="Arial Narrow" w:cs="Times New Roman"/>
                            <w:color w:val="000000"/>
                          </w:rPr>
                          <w:t> Constatar la diferencia entre dos saldos.</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Confiabilidad:</w:t>
                        </w:r>
                        <w:r w:rsidRPr="00522BD0">
                          <w:rPr>
                            <w:rFonts w:ascii="Arial Narrow" w:eastAsia="Times New Roman" w:hAnsi="Arial Narrow" w:cs="Times New Roman"/>
                            <w:color w:val="000000"/>
                          </w:rPr>
                          <w:t> la información contable es confiable si constituye la base del logro de sus objetivos y si se elabora a partir de un conjunto homogéneo y transversal de principios, normas técnicas y procedimientos que permitan conocer la gestión, el uso, el control y las condiciones de los recursos y patrimonio públicos.</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CGN</w:t>
                        </w:r>
                        <w:r w:rsidRPr="00522BD0">
                          <w:rPr>
                            <w:rFonts w:ascii="Arial Narrow" w:eastAsia="Times New Roman" w:hAnsi="Arial Narrow" w:cs="Times New Roman"/>
                            <w:color w:val="000000"/>
                          </w:rPr>
                          <w:t> Contaduría General de la Nación</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Consistencia:</w:t>
                        </w:r>
                        <w:r w:rsidRPr="00522BD0">
                          <w:rPr>
                            <w:rFonts w:ascii="Arial Narrow" w:eastAsia="Times New Roman" w:hAnsi="Arial Narrow" w:cs="Times New Roman"/>
                            <w:color w:val="000000"/>
                          </w:rPr>
                          <w:t> la información contable pública es consistente cuando los criterios que orientan su elaboración se aplican de manera coherente y uniforme.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Costos:</w:t>
                        </w:r>
                        <w:r w:rsidRPr="00522BD0">
                          <w:rPr>
                            <w:rFonts w:ascii="Arial Narrow" w:eastAsia="Times New Roman" w:hAnsi="Arial Narrow" w:cs="Times New Roman"/>
                            <w:color w:val="000000"/>
                          </w:rPr>
                          <w:t> está integrado por las cuentas que representan las erogaciones y cargos asociados con la adquisición o producción de bienes y la prestación de servicios vendidos por la entidad contable publica durante el periodo contable.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Entidad contable pública:</w:t>
                        </w:r>
                        <w:r w:rsidRPr="00522BD0">
                          <w:rPr>
                            <w:rFonts w:ascii="Arial Narrow" w:eastAsia="Times New Roman" w:hAnsi="Arial Narrow" w:cs="Times New Roman"/>
                            <w:color w:val="000000"/>
                          </w:rPr>
                          <w:t> es una unidad jurídica y/o administrativa y/o económica, que desarrolla funciones de cometido estatal y controla recursos públicos, predomina la ausencia de lucro y debe realizar una gestión pública; sujeta a diversas formas de control y a rendir cuentas sobre el uso de los recursos y el mantenimiento del patrimonio público.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Estado de Resultado:</w:t>
                        </w:r>
                        <w:r w:rsidRPr="00522BD0">
                          <w:rPr>
                            <w:rFonts w:ascii="Arial Narrow" w:eastAsia="Times New Roman" w:hAnsi="Arial Narrow" w:cs="Times New Roman"/>
                            <w:color w:val="000000"/>
                          </w:rPr>
                          <w:t> refleja la forma y la magnitud del aumento o la disminución del capital contable de la entidad, como consecuencia del conjunto de transacciones habituales y extraordinarias, que acontecieron durante el período.</w:t>
                        </w:r>
                        <w:r w:rsidRPr="00522BD0">
                          <w:rPr>
                            <w:rFonts w:ascii="Arial Narrow" w:eastAsia="Times New Roman" w:hAnsi="Arial Narrow" w:cs="Times New Roman"/>
                            <w:color w:val="000000"/>
                          </w:rPr>
                          <w:br/>
                          <w:t>Se denomina también Estado de actividad financiera, económica y social, revela el resultado de la actividad financiera, económica, social y ambiental, con base en el flujo de recursos generados y consumidos en cumplimiento de las funciones de su cometido, expresado en términos monetarios, durante un período determinado.</w:t>
                        </w:r>
                      </w:p>
                    </w:tc>
                  </w:tr>
                </w:tbl>
                <w:p w:rsidR="00522BD0" w:rsidRPr="00522BD0" w:rsidRDefault="00522BD0" w:rsidP="00522BD0">
                  <w:pPr>
                    <w:spacing w:after="0" w:line="240" w:lineRule="auto"/>
                    <w:jc w:val="both"/>
                    <w:rPr>
                      <w:rFonts w:ascii="Arial Narrow" w:eastAsia="Times New Roman" w:hAnsi="Arial Narrow" w:cs="Times New Roman"/>
                      <w:vanish/>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b/>
                            <w:bCs/>
                            <w:color w:val="000000"/>
                          </w:rPr>
                          <w:t>Estados financieros:</w:t>
                        </w:r>
                        <w:r w:rsidRPr="00522BD0">
                          <w:rPr>
                            <w:rFonts w:ascii="Arial Narrow" w:eastAsia="Times New Roman" w:hAnsi="Arial Narrow" w:cs="Times New Roman"/>
                            <w:color w:val="000000"/>
                          </w:rPr>
                          <w:t> proporcionan información sobre la posición financiera de una empresa y muestran los resultados del manejo de la gerencia de los recursos encomendados a ella (Dirección). Se dividen en Estados Financieros de Propósito General y Estados Financieros de Propósito Especial.</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Estados financieros de propósito general:</w:t>
                        </w:r>
                        <w:r w:rsidRPr="00522BD0">
                          <w:rPr>
                            <w:rFonts w:ascii="Arial Narrow" w:eastAsia="Times New Roman" w:hAnsi="Arial Narrow" w:cs="Times New Roman"/>
                            <w:color w:val="000000"/>
                          </w:rPr>
                          <w:t> son aquellos que se preparan al cierre de un período, con el ánimo de satisfacer el interés común del público sobre la situación financiera, económica, social y ambiental, los resultados del desarrollo de la actividad y la generación de flujos de recursos de la entidad. Estos revelan información cuantitativa en la estructura de su informe y cualitativa en las notas a los mismos.</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Estados financieros de propósito especial:</w:t>
                        </w:r>
                        <w:r w:rsidRPr="00522BD0">
                          <w:rPr>
                            <w:rFonts w:ascii="Arial Narrow" w:eastAsia="Times New Roman" w:hAnsi="Arial Narrow" w:cs="Times New Roman"/>
                            <w:color w:val="000000"/>
                          </w:rPr>
                          <w:t> son aquellos que se preparan al cierre de un período, con el ánimo de satisfacer necesidades o solicitudes específicas.</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Gastos:</w:t>
                        </w:r>
                        <w:r w:rsidRPr="00522BD0">
                          <w:rPr>
                            <w:rFonts w:ascii="Arial Narrow" w:eastAsia="Times New Roman" w:hAnsi="Arial Narrow" w:cs="Times New Roman"/>
                            <w:color w:val="000000"/>
                          </w:rPr>
                          <w:t> está integrado por las cuentas representativas de los flujos de salida de recursos de la entidad contable pública, susceptibles de reducir el patrimonio público durante el periodo contable, bien sea por disminución de activos o por aumento de pasivos, expresados en forma cuantitativa. Son requeridos para el desarrollo de la actividad ordinaria e incluye los originados por situaciones de carácter extraordinario.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Información Financiera:</w:t>
                        </w:r>
                        <w:r w:rsidRPr="00522BD0">
                          <w:rPr>
                            <w:rFonts w:ascii="Arial Narrow" w:eastAsia="Times New Roman" w:hAnsi="Arial Narrow" w:cs="Times New Roman"/>
                            <w:color w:val="000000"/>
                          </w:rPr>
                          <w:t> es la información de tipo financiero que permite obtener en cualquier momento la información ordenada y sistemática sobre el desenvolvimiento económico y financiero de la Entidad, y establece en términos monetarios, la cuantía de los bienes, deudas, patrimonio, ingresos y egresos que se generan, facilitando la planeación, ya que no solamente da a conocer los efectos de una operación, sino que permite prever situaciones futuras.</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lastRenderedPageBreak/>
                          <w:t>Ingresos:</w:t>
                        </w:r>
                        <w:r w:rsidRPr="00522BD0">
                          <w:rPr>
                            <w:rFonts w:ascii="Arial Narrow" w:eastAsia="Times New Roman" w:hAnsi="Arial Narrow" w:cs="Times New Roman"/>
                            <w:color w:val="000000"/>
                          </w:rPr>
                          <w:t> está integrado por las cuentas que representan los flujos de entrada de recursos generados por la entidad contable pública, susceptibles de incrementar el patrimonio público durante el periodo contable, bien sea por aumentos de activos o por disminución de pasivos, expresados en forma cuantitativa y que reflejan el desarrollo de la actividad ordinaria y los ingresos de carácter extraordinario.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Pasivos:</w:t>
                        </w:r>
                        <w:r w:rsidRPr="00522BD0">
                          <w:rPr>
                            <w:rFonts w:ascii="Arial Narrow" w:eastAsia="Times New Roman" w:hAnsi="Arial Narrow" w:cs="Times New Roman"/>
                            <w:color w:val="000000"/>
                          </w:rPr>
                          <w:t> está integrado por las cuentas que representan las obligaciones ciertas o estimadas de la entidad contable pública, derivadas de hechos pasados, de las cuales se prevé que representaran para la entidad un flujo de salida de recursos que incorporan un potencial de servicios o beneficios económicos, en desarrollo de funciones de cometido estatal.</w:t>
                        </w:r>
                      </w:p>
                    </w:tc>
                  </w:tr>
                </w:tbl>
                <w:p w:rsidR="00522BD0" w:rsidRPr="00522BD0" w:rsidRDefault="00522BD0" w:rsidP="00522BD0">
                  <w:pPr>
                    <w:spacing w:after="0" w:line="240" w:lineRule="auto"/>
                    <w:jc w:val="both"/>
                    <w:rPr>
                      <w:rFonts w:ascii="Arial Narrow" w:eastAsia="Times New Roman" w:hAnsi="Arial Narrow" w:cs="Times New Roman"/>
                      <w:vanish/>
                      <w:color w:val="00000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b/>
                            <w:bCs/>
                            <w:color w:val="000000"/>
                          </w:rPr>
                          <w:t>Patrimonio:</w:t>
                        </w:r>
                        <w:r w:rsidRPr="00522BD0">
                          <w:rPr>
                            <w:rFonts w:ascii="Arial Narrow" w:eastAsia="Times New Roman" w:hAnsi="Arial Narrow" w:cs="Times New Roman"/>
                            <w:color w:val="000000"/>
                          </w:rPr>
                          <w:t> está integrado por las cuentas representativas de bienes y derechos, deducidas las obligaciones, para cumplir las funciones de cometido estatal.</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Periodo contable:</w:t>
                        </w:r>
                        <w:r w:rsidRPr="00522BD0">
                          <w:rPr>
                            <w:rFonts w:ascii="Arial Narrow" w:eastAsia="Times New Roman" w:hAnsi="Arial Narrow" w:cs="Times New Roman"/>
                            <w:color w:val="000000"/>
                          </w:rPr>
                          <w:t> corresponde al tiempo máximo en que la entidad contable pública debe medir los resultados de sus operaciones financieras, económicas, sociales y ambientales, y el patrimonio público bajo su control, efectuando las operaciones contables de ajustes y cierre. El periodo contable es el lapso transcurrido entre el 1 de Enero y el 31 de Diciembre. No obstante se podrán solicitar estados contables intermedios e informes y reportes contables, de acuerdo con las necesidades o requerimientos de las autoridades competentes, sin que esto signifique necesariamente la ejecución de un cierre.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PGCP:</w:t>
                        </w:r>
                        <w:r w:rsidRPr="00522BD0">
                          <w:rPr>
                            <w:rFonts w:ascii="Arial Narrow" w:eastAsia="Times New Roman" w:hAnsi="Arial Narrow" w:cs="Times New Roman"/>
                            <w:color w:val="000000"/>
                          </w:rPr>
                          <w:t> Plan General de Contabilidad Publica</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Razonabilidad:</w:t>
                        </w:r>
                        <w:r w:rsidRPr="00522BD0">
                          <w:rPr>
                            <w:rFonts w:ascii="Arial Narrow" w:eastAsia="Times New Roman" w:hAnsi="Arial Narrow" w:cs="Times New Roman"/>
                            <w:color w:val="000000"/>
                          </w:rPr>
                          <w:t> la información contable pública es razonable cuando refleja la situación y actividad de la entidad contable publica, de manera ajustada a la realidad.</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Registro contable:</w:t>
                        </w:r>
                        <w:r w:rsidRPr="00522BD0">
                          <w:rPr>
                            <w:rFonts w:ascii="Arial Narrow" w:eastAsia="Times New Roman" w:hAnsi="Arial Narrow" w:cs="Times New Roman"/>
                            <w:color w:val="000000"/>
                          </w:rPr>
                          <w:t> los hechos financieros, económicos, sociales y ambientales, deben contabilizarse de manera cronológica y conceptual observando la etapa del proceso contable relativa al reconocimiento, con independencia de los noveles tecnológicos de que disponga la entidad contable publica, con base en la unidad de medida.</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SIIF Nación:</w:t>
                        </w:r>
                        <w:r w:rsidRPr="00522BD0">
                          <w:rPr>
                            <w:rFonts w:ascii="Arial Narrow" w:eastAsia="Times New Roman" w:hAnsi="Arial Narrow" w:cs="Times New Roman"/>
                            <w:color w:val="000000"/>
                          </w:rPr>
                          <w:t> Sistema Integrado de Información Financiera - SIIF Nación constituye una iniciativa del Ministerio de Hacienda y Crédito Público que permite a la Nación consolidar la información financiera de las Entidades públicas, que conforman el Presupuesto General de la Nación y ejercer el control de la ejecución presupuestal y financiera de las Entidades pertenecientes a la Administración Central Nacional y sus subunidades descentralizada, con el fin de propiciar una mayor eficiencia en el uso de los recursos de la Nación y de brindar Información oportuna y confiable.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Sistema nacional de contabilidad pública:</w:t>
                        </w:r>
                        <w:r w:rsidRPr="00522BD0">
                          <w:rPr>
                            <w:rFonts w:ascii="Arial Narrow" w:eastAsia="Times New Roman" w:hAnsi="Arial Narrow" w:cs="Times New Roman"/>
                            <w:color w:val="000000"/>
                          </w:rPr>
                          <w:t> es el conjunto de políticas, principios, normas y procedimientos técnicos de contabilidad estructurados lógicamente que al interactuar con las operaciones, recursos y actividades desarrolladas por los entes públicos, generan la información necesaria para la toma de decisiones y el control interno y externo de la administración pública.</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r>
                        <w:r w:rsidRPr="00522BD0">
                          <w:rPr>
                            <w:rFonts w:ascii="Arial Narrow" w:eastAsia="Times New Roman" w:hAnsi="Arial Narrow" w:cs="Times New Roman"/>
                            <w:b/>
                            <w:bCs/>
                            <w:color w:val="000000"/>
                          </w:rPr>
                          <w:t>Verificabilidad:</w:t>
                        </w:r>
                        <w:r w:rsidRPr="00522BD0">
                          <w:rPr>
                            <w:rFonts w:ascii="Arial Narrow" w:eastAsia="Times New Roman" w:hAnsi="Arial Narrow" w:cs="Times New Roman"/>
                            <w:color w:val="000000"/>
                          </w:rPr>
                          <w:t> la información contable pública es verificable cuando permite comprobar su razonabilidad y objetividad a través de diferentes mecanismos de comprobación.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4. Marco Legal</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p>
                    </w:tc>
                    <w:tc>
                      <w:tcPr>
                        <w:tcW w:w="500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
                          <w:gridCol w:w="8406"/>
                        </w:tblGrid>
                        <w:tr w:rsidR="00522BD0" w:rsidRPr="00522BD0">
                          <w:trPr>
                            <w:tblCellSpacing w:w="15" w:type="dxa"/>
                          </w:trPr>
                          <w:tc>
                            <w:tcPr>
                              <w:tcW w:w="15" w:type="dxa"/>
                              <w:hideMark/>
                            </w:tcPr>
                            <w:p w:rsidR="00522BD0" w:rsidRPr="00522BD0" w:rsidRDefault="00522BD0" w:rsidP="00522BD0">
                              <w:pPr>
                                <w:spacing w:after="0" w:line="240" w:lineRule="auto"/>
                                <w:jc w:val="both"/>
                                <w:rPr>
                                  <w:rFonts w:ascii="Arial Narrow" w:eastAsia="Times New Roman" w:hAnsi="Arial Narrow" w:cs="Times New Roman"/>
                                  <w:color w:val="0000FF"/>
                                </w:rPr>
                              </w:pPr>
                              <w:r w:rsidRPr="00522BD0">
                                <w:rPr>
                                  <w:rFonts w:ascii="Arial Narrow" w:eastAsia="Times New Roman" w:hAnsi="Arial Narrow" w:cs="Times New Roman"/>
                                  <w:color w:val="0000FF"/>
                                </w:rPr>
                                <w:t>•</w:t>
                              </w: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hyperlink r:id="rId5" w:history="1">
                                <w:r w:rsidRPr="00522BD0">
                                  <w:rPr>
                                    <w:rFonts w:ascii="Arial Narrow" w:eastAsia="Times New Roman" w:hAnsi="Arial Narrow" w:cs="Times New Roman"/>
                                    <w:color w:val="0000FF"/>
                                    <w:u w:val="single"/>
                                  </w:rPr>
                                  <w:t>Ver Normograma del Instituto Nacional Penitenciaro y Carcelario</w:t>
                                </w:r>
                              </w:hyperlink>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lastRenderedPageBreak/>
                    <w:t>5. Flujograma</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8702"/>
                  </w:tblGrid>
                  <w:tr w:rsidR="00522BD0" w:rsidRPr="00522BD0">
                    <w:trPr>
                      <w:tblCellSpacing w:w="0" w:type="dxa"/>
                    </w:trPr>
                    <w:tc>
                      <w:tcPr>
                        <w:tcW w:w="0" w:type="auto"/>
                        <w:vAlign w:val="center"/>
                        <w:hideMark/>
                      </w:tcPr>
                      <w:p w:rsidR="00522BD0" w:rsidRPr="00522BD0" w:rsidRDefault="00522BD0" w:rsidP="00522BD0">
                        <w:pPr>
                          <w:spacing w:after="0" w:line="240" w:lineRule="auto"/>
                          <w:jc w:val="center"/>
                          <w:rPr>
                            <w:rFonts w:ascii="Times New Roman" w:eastAsia="Times New Roman" w:hAnsi="Times New Roman" w:cs="Times New Roman"/>
                            <w:sz w:val="24"/>
                            <w:szCs w:val="24"/>
                          </w:rPr>
                        </w:pPr>
                        <w:r w:rsidRPr="00522BD0">
                          <w:rPr>
                            <w:rFonts w:ascii="Times New Roman" w:eastAsia="Times New Roman" w:hAnsi="Times New Roman" w:cs="Times New Roman"/>
                            <w:noProof/>
                            <w:sz w:val="24"/>
                            <w:szCs w:val="24"/>
                          </w:rPr>
                          <w:drawing>
                            <wp:inline distT="0" distB="0" distL="0" distR="0">
                              <wp:extent cx="10191750" cy="4876800"/>
                              <wp:effectExtent l="0" t="0" r="0" b="0"/>
                              <wp:docPr id="1" name="Imagen 1" descr="http://isolucion.inpec.gov.co/Isolucion4Inpec/BancoConocimiento4INPEC/1/19FB24DF-BF6D-446D-BCC9-0B9753A12FF8/flujograma%20depuracion%20cuentas%20contables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olucion.inpec.gov.co/Isolucion4Inpec/BancoConocimiento4INPEC/1/19FB24DF-BF6D-446D-BCC9-0B9753A12FF8/flujograma%20depuracion%20cuentas%20contables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0" cy="4876800"/>
                                      </a:xfrm>
                                      <a:prstGeom prst="rect">
                                        <a:avLst/>
                                      </a:prstGeom>
                                      <a:noFill/>
                                      <a:ln>
                                        <a:noFill/>
                                      </a:ln>
                                    </pic:spPr>
                                  </pic:pic>
                                </a:graphicData>
                              </a:graphic>
                            </wp:inline>
                          </w:drawing>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437"/>
              <w:gridCol w:w="2183"/>
              <w:gridCol w:w="2183"/>
              <w:gridCol w:w="1921"/>
              <w:gridCol w:w="2008"/>
            </w:tblGrid>
            <w:tr w:rsidR="00522BD0" w:rsidRPr="00522BD0">
              <w:trPr>
                <w:trHeight w:val="375"/>
                <w:tblCellSpacing w:w="0" w:type="dxa"/>
              </w:trPr>
              <w:tc>
                <w:tcPr>
                  <w:tcW w:w="0" w:type="auto"/>
                  <w:gridSpan w:val="5"/>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6. Detalle de las actividades</w:t>
                  </w:r>
                </w:p>
              </w:tc>
            </w:tr>
            <w:tr w:rsidR="00522BD0" w:rsidRPr="00522BD0">
              <w:trPr>
                <w:trHeight w:val="375"/>
                <w:tblCellSpacing w:w="0" w:type="dxa"/>
              </w:trPr>
              <w:tc>
                <w:tcPr>
                  <w:tcW w:w="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Nº</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Actividad</w:t>
                  </w:r>
                </w:p>
              </w:tc>
              <w:tc>
                <w:tcPr>
                  <w:tcW w:w="12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Descripción</w:t>
                  </w:r>
                </w:p>
              </w:tc>
              <w:tc>
                <w:tcPr>
                  <w:tcW w:w="110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Punto de Control</w:t>
                  </w:r>
                </w:p>
              </w:tc>
              <w:tc>
                <w:tcPr>
                  <w:tcW w:w="11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Responsable</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1</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Revisar información financiera revelada en Estados Contables, Aplicativo SIIF Nación y documentos soporte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24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Para la revisión de la información financiera se debe:</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Analizar las cuentas del Balance: Activos, Pasivos, Patrimonio</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Analizar las cuentas del Estado de Actividad: Ingresos, Gastos y Costos.</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Analizar los registros en SIIF nación.</w:t>
                        </w:r>
                      </w:p>
                      <w:p w:rsidR="00522BD0" w:rsidRPr="00522BD0" w:rsidRDefault="00522BD0" w:rsidP="00522BD0">
                        <w:pPr>
                          <w:spacing w:after="24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lastRenderedPageBreak/>
                          <w:t></w:t>
                        </w:r>
                        <w:r w:rsidRPr="00522BD0">
                          <w:rPr>
                            <w:rFonts w:ascii="Arial Narrow" w:eastAsia="Times New Roman" w:hAnsi="Arial Narrow" w:cs="Times New Roman"/>
                            <w:color w:val="000000"/>
                          </w:rPr>
                          <w:t xml:space="preserve">  Analizar documentos soporte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En esta revisión se procede a constatar :</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Cuentas que figuran con saldo contrario a su naturaleza.</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Montos significativos que se reconozcan como no razonables.</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Cuentas de relevancia que por su importancia o movimiento ameriten ser revisadas.</w:t>
                        </w:r>
                      </w:p>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Symbol" w:cs="Times New Roman"/>
                            <w:color w:val="000000"/>
                          </w:rPr>
                          <w:t></w:t>
                        </w:r>
                        <w:r w:rsidRPr="00522BD0">
                          <w:rPr>
                            <w:rFonts w:ascii="Arial Narrow" w:eastAsia="Times New Roman" w:hAnsi="Arial Narrow" w:cs="Times New Roman"/>
                            <w:color w:val="000000"/>
                          </w:rPr>
                          <w:t xml:space="preserve">  Documentos soporte que no hayan sido contabilizados.</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10"/>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Balance</w:t>
                        </w:r>
                        <w:r w:rsidRPr="00522BD0">
                          <w:rPr>
                            <w:rFonts w:ascii="Arial Narrow" w:eastAsia="Times New Roman" w:hAnsi="Arial Narrow" w:cs="Times New Roman"/>
                            <w:color w:val="000000"/>
                          </w:rPr>
                          <w:br/>
                          <w:t>Estado de Costos</w:t>
                        </w:r>
                        <w:r w:rsidRPr="00522BD0">
                          <w:rPr>
                            <w:rFonts w:ascii="Arial Narrow" w:eastAsia="Times New Roman" w:hAnsi="Arial Narrow" w:cs="Times New Roman"/>
                            <w:color w:val="000000"/>
                          </w:rPr>
                          <w:br/>
                          <w:t>Documentos soporte de transacciones financieras</w:t>
                        </w:r>
                        <w:r w:rsidRPr="00522BD0">
                          <w:rPr>
                            <w:rFonts w:ascii="Arial Narrow" w:eastAsia="Times New Roman" w:hAnsi="Arial Narrow" w:cs="Times New Roman"/>
                            <w:color w:val="000000"/>
                          </w:rPr>
                          <w:br/>
                          <w:t>Registros en SIIF Nación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lastRenderedPageBreak/>
                    <w:t>2</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Elaborar cronograma</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Con la lista de las cuentas a depurar se elabora cronograma de actividades, donde se relaciona periodo de depuración para cada una de las cuentas objeto de análisis.</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10"/>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Cronograma</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3</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Verificar las cifras objeto de depuración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Con esta información se procede a relacionar las novedades encontradas en Anexos de Terceros, datos arrojados por el aplicativo PCT ( Bienes muebles ) , información registrada en Excel ( ejemplo Bienes Inmuebles) y Estados financieros que contengan información de cada una de las cuentas a analizar .</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El objeto es facilitar la identificación de los terceros que la conforman, movimientos financieros que las afecten e inconsistencias</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lastRenderedPageBreak/>
                    <w:t>4</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Revisar documentos soporte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De las operaciones que presenten: Registros errados, doble contabilización, saldos contrarios a su naturaleza, códigos contables errados y operaciones no registradas, se procede a revisar la documentación soporte.</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Si se hace necesario se solicita aclaración a las dependencias involucradas o al Tercero afectado.</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5</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¿El registro esta correcto?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Si. Fin.</w:t>
                        </w:r>
                        <w:r w:rsidRPr="00522BD0">
                          <w:rPr>
                            <w:rFonts w:ascii="Arial Narrow" w:eastAsia="Times New Roman" w:hAnsi="Arial Narrow" w:cs="Times New Roman"/>
                            <w:color w:val="000000"/>
                          </w:rPr>
                          <w:br/>
                          <w:t>No. Continúa en la actividad No.6</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6</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¿El monto de la inconsistencia es significativo?</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Si. Continua en la Actividad No. 8</w:t>
                        </w:r>
                        <w:r w:rsidRPr="00522BD0">
                          <w:rPr>
                            <w:rFonts w:ascii="Arial Narrow" w:eastAsia="Times New Roman" w:hAnsi="Arial Narrow" w:cs="Times New Roman"/>
                            <w:color w:val="000000"/>
                          </w:rPr>
                          <w:br/>
                          <w:t>No. Continua en la Actividad No. 7</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7</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Realizar registro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Con base en los documentos soporte se efectúa el registro contable en SIIF Nación. Fin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10"/>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Registro en SIIF Nación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8</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Presentar situación a Comité Técnico de Sostenibilidad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Si la novedad encontrada amerita por su monto, importancia, incidencia en la información financiera, el saldo a depurar es presentado al Comité Técnico de Sostenibilidad Contable, para su aprobación.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10"/>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Acta</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lastRenderedPageBreak/>
                    <w:t>9</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¿Al hacer la presentación del saldo a depurar, este es aprobado por el comité?</w:t>
                        </w:r>
                        <w:r w:rsidRPr="00522BD0">
                          <w:rPr>
                            <w:rFonts w:ascii="Arial Narrow" w:eastAsia="Times New Roman" w:hAnsi="Arial Narrow" w:cs="Times New Roman"/>
                            <w:color w:val="000000"/>
                          </w:rPr>
                          <w:br/>
                        </w:r>
                        <w:r w:rsidRPr="00522BD0">
                          <w:rPr>
                            <w:rFonts w:ascii="Arial Narrow" w:eastAsia="Times New Roman" w:hAnsi="Arial Narrow" w:cs="Times New Roman"/>
                            <w:color w:val="000000"/>
                          </w:rPr>
                          <w:br/>
                          <w:t>Si. Continua en la Actividad No. 10</w:t>
                        </w:r>
                        <w:r w:rsidRPr="00522BD0">
                          <w:rPr>
                            <w:rFonts w:ascii="Arial Narrow" w:eastAsia="Times New Roman" w:hAnsi="Arial Narrow" w:cs="Times New Roman"/>
                            <w:color w:val="000000"/>
                          </w:rPr>
                          <w:br/>
                          <w:t>No. Continua en la Actividad No. 3</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r w:rsidRPr="00522BD0">
                    <w:rPr>
                      <w:rFonts w:ascii="Arial Narrow" w:eastAsia="Times New Roman" w:hAnsi="Arial Narrow" w:cs="Times New Roman"/>
                      <w:b/>
                      <w:bCs/>
                      <w:color w:val="000000"/>
                      <w:sz w:val="24"/>
                      <w:szCs w:val="24"/>
                    </w:rPr>
                    <w:t>10</w:t>
                  </w: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000000"/>
                            <w:sz w:val="24"/>
                            <w:szCs w:val="24"/>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Registrar los saldos depurados en SIIF Nación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2072"/>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Se procede a efectuar el registro contable de ajuste en SIIF Nación de acuerdo a los documentos soporte o a la información obtenida y a reversar el registro incorrecto si lo hubiere. Este registro debe ser efectuado bajo los parámetros establecidos en el P.G.C.P. emitido por la C.G. 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10"/>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Registro SIIF Nación</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1897"/>
                  </w:tblGrid>
                  <w:tr w:rsidR="00522BD0" w:rsidRPr="00522BD0">
                    <w:trPr>
                      <w:tblCellSpacing w:w="15" w:type="dxa"/>
                    </w:trPr>
                    <w:tc>
                      <w:tcPr>
                        <w:tcW w:w="15" w:type="dxa"/>
                        <w:vAlign w:val="center"/>
                        <w:hideMark/>
                      </w:tcPr>
                      <w:p w:rsidR="00522BD0" w:rsidRPr="00522BD0" w:rsidRDefault="00522BD0" w:rsidP="00522BD0">
                        <w:pPr>
                          <w:spacing w:after="0" w:line="240" w:lineRule="auto"/>
                          <w:jc w:val="both"/>
                          <w:rPr>
                            <w:rFonts w:ascii="Times New Roman" w:eastAsia="Times New Roman" w:hAnsi="Times New Roman" w:cs="Times New Roman"/>
                            <w:sz w:val="20"/>
                            <w:szCs w:val="20"/>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Profesional Universitario del Grupo Contable</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8732"/>
            </w:tblGrid>
            <w:tr w:rsidR="00522BD0" w:rsidRPr="00522BD0">
              <w:trPr>
                <w:trHeight w:val="375"/>
                <w:tblCellSpacing w:w="0" w:type="dxa"/>
              </w:trPr>
              <w:tc>
                <w:tcPr>
                  <w:tcW w:w="0" w:type="auto"/>
                  <w:tcBorders>
                    <w:top w:val="outset" w:sz="6" w:space="0" w:color="004C5A"/>
                    <w:left w:val="outset" w:sz="6" w:space="0" w:color="004C5A"/>
                    <w:bottom w:val="outset" w:sz="6" w:space="0" w:color="004C5A"/>
                    <w:right w:val="outset" w:sz="6" w:space="0" w:color="004C5A"/>
                  </w:tcBorders>
                  <w:shd w:val="clear" w:color="auto" w:fill="004C5A"/>
                  <w:tcMar>
                    <w:top w:w="0" w:type="dxa"/>
                    <w:left w:w="135" w:type="dxa"/>
                    <w:bottom w:w="0" w:type="dxa"/>
                    <w:right w:w="0" w:type="dxa"/>
                  </w:tcMar>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7. Anexos</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621"/>
                  </w:tblGrid>
                  <w:tr w:rsidR="00522BD0" w:rsidRPr="00522BD0">
                    <w:trPr>
                      <w:tblCellSpacing w:w="15" w:type="dxa"/>
                    </w:trPr>
                    <w:tc>
                      <w:tcPr>
                        <w:tcW w:w="15" w:type="dxa"/>
                        <w:vAlign w:val="center"/>
                        <w:hideMark/>
                      </w:tcPr>
                      <w:p w:rsidR="00522BD0" w:rsidRPr="00522BD0" w:rsidRDefault="00522BD0" w:rsidP="00522BD0">
                        <w:pPr>
                          <w:spacing w:after="0" w:line="240" w:lineRule="auto"/>
                          <w:rPr>
                            <w:rFonts w:ascii="Arial Narrow" w:eastAsia="Times New Roman" w:hAnsi="Arial Narrow" w:cs="Times New Roman"/>
                            <w:b/>
                            <w:bCs/>
                            <w:color w:val="FFFFFF"/>
                          </w:rPr>
                        </w:pPr>
                      </w:p>
                    </w:tc>
                    <w:tc>
                      <w:tcPr>
                        <w:tcW w:w="5000" w:type="pct"/>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N.A</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1309"/>
              <w:gridCol w:w="1310"/>
              <w:gridCol w:w="1310"/>
              <w:gridCol w:w="4803"/>
            </w:tblGrid>
            <w:tr w:rsidR="00522BD0" w:rsidRPr="00522BD0">
              <w:trPr>
                <w:trHeight w:val="375"/>
                <w:tblCellSpacing w:w="0" w:type="dxa"/>
              </w:trPr>
              <w:tc>
                <w:tcPr>
                  <w:tcW w:w="0" w:type="auto"/>
                  <w:gridSpan w:val="4"/>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Lista de Versiones</w:t>
                  </w:r>
                </w:p>
              </w:tc>
            </w:tr>
            <w:tr w:rsidR="00522BD0" w:rsidRPr="00522BD0">
              <w:trPr>
                <w:tblCellSpacing w:w="0" w:type="dxa"/>
              </w:trPr>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Versión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Fecha de Emisión</w:t>
                  </w:r>
                </w:p>
              </w:tc>
              <w:tc>
                <w:tcPr>
                  <w:tcW w:w="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Motivo de la Modificación</w:t>
                  </w:r>
                </w:p>
              </w:tc>
              <w:tc>
                <w:tcPr>
                  <w:tcW w:w="27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Modificaciones</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color w:val="000000"/>
                    </w:rPr>
                  </w:pPr>
                  <w:r w:rsidRPr="00522BD0">
                    <w:rPr>
                      <w:rFonts w:ascii="Arial Narrow" w:eastAsia="Times New Roman" w:hAnsi="Arial Narrow" w:cs="Times New Roman"/>
                      <w:color w:val="000000"/>
                    </w:rPr>
                    <w:t>01</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color w:val="000000"/>
                    </w:rPr>
                  </w:pPr>
                  <w:r w:rsidRPr="00522BD0">
                    <w:rPr>
                      <w:rFonts w:ascii="Arial Narrow" w:eastAsia="Times New Roman" w:hAnsi="Arial Narrow" w:cs="Times New Roman"/>
                      <w:color w:val="000000"/>
                    </w:rPr>
                    <w:t>21/Ene/2016</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center"/>
                    <w:rPr>
                      <w:rFonts w:ascii="Arial Narrow" w:eastAsia="Times New Roman" w:hAnsi="Arial Narrow" w:cs="Times New Roman"/>
                      <w:color w:val="000000"/>
                    </w:rPr>
                  </w:pPr>
                  <w:r w:rsidRPr="00522BD0">
                    <w:rPr>
                      <w:rFonts w:ascii="Arial Narrow" w:eastAsia="Times New Roman" w:hAnsi="Arial Narrow" w:cs="Times New Roman"/>
                      <w:color w:val="000000"/>
                    </w:rPr>
                    <w:t>Creación del documento</w:t>
                  </w:r>
                </w:p>
              </w:tc>
              <w:tc>
                <w:tcPr>
                  <w:tcW w:w="0" w:type="auto"/>
                  <w:tcBorders>
                    <w:top w:val="outset" w:sz="6" w:space="0" w:color="004C5A"/>
                    <w:left w:val="outset" w:sz="6" w:space="0" w:color="004C5A"/>
                    <w:bottom w:val="outset" w:sz="6" w:space="0" w:color="004C5A"/>
                    <w:right w:val="outset" w:sz="6" w:space="0" w:color="004C5A"/>
                  </w:tcBorders>
                  <w:vAlign w:val="center"/>
                  <w:hideMark/>
                </w:tcPr>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t>No Aplica. </w:t>
                  </w: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0"/>
                <w:szCs w:val="20"/>
              </w:rPr>
            </w:pPr>
          </w:p>
        </w:tc>
      </w:tr>
      <w:tr w:rsidR="00522BD0" w:rsidRPr="00522BD0" w:rsidTr="00522BD0">
        <w:trPr>
          <w:tblCellSpacing w:w="15" w:type="dxa"/>
          <w:jc w:val="center"/>
        </w:trPr>
        <w:tc>
          <w:tcPr>
            <w:tcW w:w="0" w:type="auto"/>
            <w:vAlign w:val="center"/>
            <w:hideMark/>
          </w:tcPr>
          <w:tbl>
            <w:tblPr>
              <w:tblW w:w="5000" w:type="pct"/>
              <w:tblCellSpacing w:w="0" w:type="dxa"/>
              <w:tblBorders>
                <w:top w:val="outset" w:sz="6" w:space="0" w:color="004C5A"/>
                <w:left w:val="outset" w:sz="6" w:space="0" w:color="004C5A"/>
                <w:bottom w:val="outset" w:sz="6" w:space="0" w:color="004C5A"/>
                <w:right w:val="outset" w:sz="6" w:space="0" w:color="004C5A"/>
              </w:tblBorders>
              <w:tblCellMar>
                <w:left w:w="0" w:type="dxa"/>
                <w:right w:w="0" w:type="dxa"/>
              </w:tblCellMar>
              <w:tblLook w:val="04A0" w:firstRow="1" w:lastRow="0" w:firstColumn="1" w:lastColumn="0" w:noHBand="0" w:noVBand="1"/>
            </w:tblPr>
            <w:tblGrid>
              <w:gridCol w:w="2910"/>
              <w:gridCol w:w="2911"/>
              <w:gridCol w:w="2911"/>
            </w:tblGrid>
            <w:tr w:rsidR="00522BD0" w:rsidRPr="00522BD0">
              <w:trPr>
                <w:trHeight w:val="375"/>
                <w:tblCellSpacing w:w="0" w:type="dxa"/>
              </w:trPr>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Elaboró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Revisó</w:t>
                  </w:r>
                </w:p>
              </w:tc>
              <w:tc>
                <w:tcPr>
                  <w:tcW w:w="1650" w:type="pct"/>
                  <w:tcBorders>
                    <w:top w:val="outset" w:sz="6" w:space="0" w:color="004C5A"/>
                    <w:left w:val="outset" w:sz="6" w:space="0" w:color="004C5A"/>
                    <w:bottom w:val="outset" w:sz="6" w:space="0" w:color="004C5A"/>
                    <w:right w:val="outset" w:sz="6" w:space="0" w:color="004C5A"/>
                  </w:tcBorders>
                  <w:shd w:val="clear" w:color="auto" w:fill="004C5A"/>
                  <w:vAlign w:val="center"/>
                  <w:hideMark/>
                </w:tcPr>
                <w:p w:rsidR="00522BD0" w:rsidRPr="00522BD0" w:rsidRDefault="00522BD0" w:rsidP="00522BD0">
                  <w:pPr>
                    <w:spacing w:after="0" w:line="240" w:lineRule="auto"/>
                    <w:jc w:val="center"/>
                    <w:rPr>
                      <w:rFonts w:ascii="Arial Narrow" w:eastAsia="Times New Roman" w:hAnsi="Arial Narrow" w:cs="Times New Roman"/>
                      <w:b/>
                      <w:bCs/>
                      <w:color w:val="FFFFFF"/>
                    </w:rPr>
                  </w:pPr>
                  <w:r w:rsidRPr="00522BD0">
                    <w:rPr>
                      <w:rFonts w:ascii="Arial Narrow" w:eastAsia="Times New Roman" w:hAnsi="Arial Narrow" w:cs="Times New Roman"/>
                      <w:b/>
                      <w:bCs/>
                      <w:color w:val="FFFFFF"/>
                    </w:rPr>
                    <w:t>Aprobó</w:t>
                  </w:r>
                </w:p>
              </w:tc>
            </w:tr>
            <w:tr w:rsidR="00522BD0" w:rsidRPr="00522BD0">
              <w:trPr>
                <w:tblCellSpacing w:w="0" w:type="dxa"/>
              </w:trPr>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5"/>
                  </w:tblGrid>
                  <w:tr w:rsidR="00522BD0" w:rsidRPr="00522BD0">
                    <w:trPr>
                      <w:tblCellSpacing w:w="15" w:type="dxa"/>
                    </w:trPr>
                    <w:tc>
                      <w:tcPr>
                        <w:tcW w:w="12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Nombre:</w:t>
                        </w:r>
                      </w:p>
                    </w:tc>
                    <w:tc>
                      <w:tcPr>
                        <w:tcW w:w="37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Ana Cristina Diaz Martínez</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Cargo:</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Coordinador Grupo Contable</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Fecha:</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21/Ene/2016</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6"/>
                  </w:tblGrid>
                  <w:tr w:rsidR="00522BD0" w:rsidRPr="00522BD0">
                    <w:trPr>
                      <w:tblCellSpacing w:w="15" w:type="dxa"/>
                    </w:trPr>
                    <w:tc>
                      <w:tcPr>
                        <w:tcW w:w="12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Nombre:</w:t>
                        </w:r>
                      </w:p>
                    </w:tc>
                    <w:tc>
                      <w:tcPr>
                        <w:tcW w:w="37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Juan Manuel Riaño Vargas</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Cargo:</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Jefe Oficina Asesora de Planeación</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Fecha:</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21/Ene/2016</w:t>
                        </w:r>
                      </w:p>
                    </w:tc>
                  </w:tr>
                </w:tbl>
                <w:p w:rsidR="00522BD0" w:rsidRPr="00522BD0" w:rsidRDefault="00522BD0" w:rsidP="00522BD0">
                  <w:pPr>
                    <w:spacing w:after="0" w:line="240" w:lineRule="auto"/>
                    <w:jc w:val="both"/>
                    <w:rPr>
                      <w:rFonts w:ascii="Arial Narrow" w:eastAsia="Times New Roman" w:hAnsi="Arial Narrow" w:cs="Times New Roman"/>
                      <w:color w:val="000000"/>
                    </w:rPr>
                  </w:pPr>
                  <w:r w:rsidRPr="00522BD0">
                    <w:rPr>
                      <w:rFonts w:ascii="Arial Narrow" w:eastAsia="Times New Roman" w:hAnsi="Arial Narrow" w:cs="Times New Roman"/>
                      <w:color w:val="000000"/>
                    </w:rPr>
                    <w:br/>
                    <w:t> </w:t>
                  </w:r>
                </w:p>
              </w:tc>
              <w:tc>
                <w:tcPr>
                  <w:tcW w:w="0" w:type="auto"/>
                  <w:tcBorders>
                    <w:top w:val="outset" w:sz="6" w:space="0" w:color="004C5A"/>
                    <w:left w:val="outset" w:sz="6" w:space="0" w:color="004C5A"/>
                    <w:bottom w:val="outset" w:sz="6" w:space="0" w:color="004C5A"/>
                    <w:right w:val="outset" w:sz="6" w:space="0" w:color="004C5A"/>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5"/>
                    <w:gridCol w:w="1886"/>
                  </w:tblGrid>
                  <w:tr w:rsidR="00522BD0" w:rsidRPr="00522BD0">
                    <w:trPr>
                      <w:tblCellSpacing w:w="15" w:type="dxa"/>
                    </w:trPr>
                    <w:tc>
                      <w:tcPr>
                        <w:tcW w:w="12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Nombre:</w:t>
                        </w:r>
                      </w:p>
                    </w:tc>
                    <w:tc>
                      <w:tcPr>
                        <w:tcW w:w="3750" w:type="pct"/>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José Nemesio Moreno Rodriguez</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Cargo:</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Director de Gestión Corporativa</w:t>
                        </w:r>
                      </w:p>
                    </w:tc>
                  </w:tr>
                  <w:tr w:rsidR="00522BD0" w:rsidRPr="00522BD0">
                    <w:trPr>
                      <w:tblCellSpacing w:w="15" w:type="dxa"/>
                    </w:trPr>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b/>
                            <w:bCs/>
                            <w:sz w:val="24"/>
                            <w:szCs w:val="24"/>
                          </w:rPr>
                          <w:t>Fecha:</w:t>
                        </w:r>
                      </w:p>
                    </w:tc>
                    <w:tc>
                      <w:tcPr>
                        <w:tcW w:w="0" w:type="auto"/>
                        <w:vAlign w:val="center"/>
                        <w:hideMark/>
                      </w:tcPr>
                      <w:p w:rsidR="00522BD0" w:rsidRPr="00522BD0" w:rsidRDefault="00522BD0" w:rsidP="00522BD0">
                        <w:pPr>
                          <w:spacing w:after="0" w:line="240" w:lineRule="auto"/>
                          <w:rPr>
                            <w:rFonts w:ascii="Times New Roman" w:eastAsia="Times New Roman" w:hAnsi="Times New Roman" w:cs="Times New Roman"/>
                            <w:sz w:val="24"/>
                            <w:szCs w:val="24"/>
                          </w:rPr>
                        </w:pPr>
                        <w:r w:rsidRPr="00522BD0">
                          <w:rPr>
                            <w:rFonts w:ascii="Times New Roman" w:eastAsia="Times New Roman" w:hAnsi="Times New Roman" w:cs="Times New Roman"/>
                            <w:sz w:val="24"/>
                            <w:szCs w:val="24"/>
                          </w:rPr>
                          <w:t>21/Ene/2016</w:t>
                        </w:r>
                      </w:p>
                    </w:tc>
                  </w:tr>
                </w:tbl>
                <w:p w:rsidR="00522BD0" w:rsidRPr="00522BD0" w:rsidRDefault="00522BD0" w:rsidP="00522BD0">
                  <w:pPr>
                    <w:spacing w:after="0" w:line="240" w:lineRule="auto"/>
                    <w:jc w:val="both"/>
                    <w:rPr>
                      <w:rFonts w:ascii="Arial Narrow" w:eastAsia="Times New Roman" w:hAnsi="Arial Narrow" w:cs="Times New Roman"/>
                      <w:color w:val="000000"/>
                    </w:rPr>
                  </w:pPr>
                </w:p>
              </w:tc>
            </w:tr>
          </w:tbl>
          <w:p w:rsidR="00522BD0" w:rsidRPr="00522BD0" w:rsidRDefault="00522BD0" w:rsidP="00522BD0">
            <w:pPr>
              <w:spacing w:after="0" w:line="240" w:lineRule="auto"/>
              <w:rPr>
                <w:rFonts w:ascii="Times New Roman" w:eastAsia="Times New Roman" w:hAnsi="Times New Roman" w:cs="Times New Roman"/>
                <w:sz w:val="24"/>
                <w:szCs w:val="24"/>
              </w:rPr>
            </w:pPr>
          </w:p>
        </w:tc>
      </w:tr>
      <w:tr w:rsidR="00522BD0" w:rsidRPr="00522BD0" w:rsidTr="00522BD0">
        <w:trPr>
          <w:trHeight w:val="225"/>
          <w:tblCellSpacing w:w="15" w:type="dxa"/>
          <w:jc w:val="center"/>
        </w:trPr>
        <w:tc>
          <w:tcPr>
            <w:tcW w:w="0" w:type="auto"/>
            <w:vAlign w:val="center"/>
            <w:hideMark/>
          </w:tcPr>
          <w:p w:rsidR="00522BD0" w:rsidRPr="00522BD0" w:rsidRDefault="00522BD0" w:rsidP="00522BD0">
            <w:pPr>
              <w:spacing w:after="0" w:line="240" w:lineRule="auto"/>
              <w:jc w:val="center"/>
              <w:rPr>
                <w:rFonts w:ascii="Arial Narrow" w:eastAsia="Times New Roman" w:hAnsi="Arial Narrow" w:cs="Times New Roman"/>
                <w:color w:val="000000"/>
              </w:rPr>
            </w:pPr>
            <w:r w:rsidRPr="00522BD0">
              <w:rPr>
                <w:rFonts w:ascii="Arial Narrow" w:eastAsia="Times New Roman" w:hAnsi="Arial Narrow" w:cs="Times New Roman"/>
                <w:color w:val="000000"/>
              </w:rPr>
              <w:t>TXTCOpiaControlada</w:t>
            </w:r>
          </w:p>
        </w:tc>
      </w:tr>
    </w:tbl>
    <w:p w:rsidR="00365C5E" w:rsidRDefault="00365C5E">
      <w:bookmarkStart w:id="0" w:name="_GoBack"/>
      <w:bookmarkEnd w:id="0"/>
    </w:p>
    <w:sectPr w:rsidR="00365C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D0"/>
    <w:rsid w:val="00365C5E"/>
    <w:rsid w:val="0052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2AB33-E7A2-4222-85E7-7DA9D3BD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2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04206">
      <w:bodyDiv w:val="1"/>
      <w:marLeft w:val="0"/>
      <w:marRight w:val="0"/>
      <w:marTop w:val="0"/>
      <w:marBottom w:val="0"/>
      <w:divBdr>
        <w:top w:val="none" w:sz="0" w:space="0" w:color="auto"/>
        <w:left w:val="none" w:sz="0" w:space="0" w:color="auto"/>
        <w:bottom w:val="none" w:sz="0" w:space="0" w:color="auto"/>
        <w:right w:val="none" w:sz="0" w:space="0" w:color="auto"/>
      </w:divBdr>
      <w:divsChild>
        <w:div w:id="63381286">
          <w:marLeft w:val="0"/>
          <w:marRight w:val="0"/>
          <w:marTop w:val="0"/>
          <w:marBottom w:val="0"/>
          <w:divBdr>
            <w:top w:val="none" w:sz="0" w:space="0" w:color="auto"/>
            <w:left w:val="none" w:sz="0" w:space="0" w:color="auto"/>
            <w:bottom w:val="none" w:sz="0" w:space="0" w:color="auto"/>
            <w:right w:val="none" w:sz="0" w:space="0" w:color="auto"/>
          </w:divBdr>
        </w:div>
        <w:div w:id="48966330">
          <w:marLeft w:val="0"/>
          <w:marRight w:val="0"/>
          <w:marTop w:val="0"/>
          <w:marBottom w:val="0"/>
          <w:divBdr>
            <w:top w:val="none" w:sz="0" w:space="0" w:color="auto"/>
            <w:left w:val="none" w:sz="0" w:space="0" w:color="auto"/>
            <w:bottom w:val="none" w:sz="0" w:space="0" w:color="auto"/>
            <w:right w:val="none" w:sz="0" w:space="0" w:color="auto"/>
          </w:divBdr>
        </w:div>
        <w:div w:id="124611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inpec.gov.co/documents/20143/73347/Normograma+Institucional+vfinal.xlsx/6bdeed27-cbf7-360d-0c00-8e5dfec9f8f6"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11539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EYISLEEN VERA RONDON</dc:creator>
  <cp:keywords/>
  <dc:description/>
  <cp:lastModifiedBy>EYISLEEN VERA RONDON</cp:lastModifiedBy>
  <cp:revision>1</cp:revision>
  <dcterms:created xsi:type="dcterms:W3CDTF">2020-03-12T16:01:00Z</dcterms:created>
  <dcterms:modified xsi:type="dcterms:W3CDTF">2020-03-12T16:01:00Z</dcterms:modified>
</cp:coreProperties>
</file>